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287E">
        <w:rPr>
          <w:b/>
          <w:sz w:val="24"/>
          <w:szCs w:val="24"/>
        </w:rPr>
        <w:t>21</w:t>
      </w:r>
      <w:r w:rsidRPr="00FD546C">
        <w:rPr>
          <w:b/>
          <w:sz w:val="24"/>
          <w:szCs w:val="24"/>
        </w:rPr>
        <w:t xml:space="preserve"> </w:t>
      </w:r>
      <w:r w:rsidR="00AC287E">
        <w:rPr>
          <w:b/>
          <w:sz w:val="24"/>
          <w:szCs w:val="24"/>
        </w:rPr>
        <w:t>October</w:t>
      </w:r>
      <w:r w:rsidRPr="00FD546C">
        <w:rPr>
          <w:b/>
          <w:sz w:val="24"/>
          <w:szCs w:val="24"/>
        </w:rPr>
        <w:t xml:space="preserve"> 2022</w:t>
      </w:r>
    </w:p>
    <w:p w:rsidR="00036004" w:rsidRDefault="00036004" w:rsidP="00036004">
      <w:pPr>
        <w:spacing w:line="203" w:lineRule="exact"/>
        <w:rPr>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036004">
        <w:trPr>
          <w:trHeight w:val="276"/>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036004">
        <w:trPr>
          <w:trHeight w:val="142"/>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00" w:lineRule="exact"/>
        <w:rPr>
          <w:sz w:val="24"/>
          <w:szCs w:val="24"/>
        </w:rPr>
      </w:pPr>
    </w:p>
    <w:p w:rsidR="00FD546C" w:rsidRDefault="00FD546C" w:rsidP="00851C66">
      <w:pPr>
        <w:rPr>
          <w:sz w:val="24"/>
          <w:szCs w:val="24"/>
        </w:rPr>
      </w:pPr>
    </w:p>
    <w:p w:rsidR="00851C66" w:rsidRPr="000B67A0" w:rsidRDefault="00851C66" w:rsidP="00851C66">
      <w:pPr>
        <w:jc w:val="both"/>
        <w:rPr>
          <w:rFonts w:ascii="Arial" w:hAnsi="Arial" w:cs="Arial"/>
          <w:b/>
        </w:rPr>
      </w:pPr>
      <w:bookmarkStart w:id="1" w:name="_Hlk100820287"/>
      <w:r>
        <w:rPr>
          <w:rFonts w:ascii="Arial" w:hAnsi="Arial" w:cs="Arial"/>
          <w:b/>
        </w:rPr>
        <w:t xml:space="preserve">Enquiries: </w:t>
      </w:r>
      <w:proofErr w:type="spellStart"/>
      <w:r w:rsidR="00944EC8">
        <w:rPr>
          <w:rFonts w:ascii="Arial" w:hAnsi="Arial" w:cs="Arial"/>
          <w:b/>
        </w:rPr>
        <w:t>Thembani</w:t>
      </w:r>
      <w:proofErr w:type="spellEnd"/>
      <w:r w:rsidR="00AE3F17">
        <w:rPr>
          <w:rFonts w:ascii="Arial" w:hAnsi="Arial" w:cs="Arial"/>
          <w:b/>
        </w:rPr>
        <w:t xml:space="preserve"> </w:t>
      </w:r>
      <w:r>
        <w:rPr>
          <w:rFonts w:ascii="Arial" w:hAnsi="Arial" w:cs="Arial"/>
          <w:b/>
        </w:rPr>
        <w:t>(</w:t>
      </w:r>
      <w:r w:rsidR="00575803">
        <w:rPr>
          <w:rFonts w:ascii="Arial" w:hAnsi="Arial" w:cs="Arial"/>
          <w:b/>
        </w:rPr>
        <w:t>0</w:t>
      </w:r>
      <w:r w:rsidR="00944EC8">
        <w:rPr>
          <w:rFonts w:ascii="Arial" w:hAnsi="Arial" w:cs="Arial"/>
          <w:b/>
        </w:rPr>
        <w:t>83 403 9740</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rsidTr="00851C66">
        <w:trPr>
          <w:trHeight w:val="77"/>
        </w:trPr>
        <w:tc>
          <w:tcPr>
            <w:tcW w:w="7218" w:type="dxa"/>
          </w:tcPr>
          <w:bookmarkEnd w:id="1"/>
          <w:p w:rsidR="00851C66" w:rsidRPr="002757E5" w:rsidRDefault="00851C66" w:rsidP="00851C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851C66" w:rsidRPr="002757E5" w:rsidRDefault="00851C66" w:rsidP="00851C66">
            <w:pPr>
              <w:jc w:val="both"/>
              <w:rPr>
                <w:rFonts w:ascii="Arial" w:hAnsi="Arial" w:cs="Arial"/>
                <w:b/>
              </w:rPr>
            </w:pPr>
            <w:r w:rsidRPr="002757E5">
              <w:rPr>
                <w:rFonts w:ascii="Arial" w:hAnsi="Arial" w:cs="Arial"/>
                <w:b/>
              </w:rPr>
              <w:t>QUANTITY</w:t>
            </w:r>
          </w:p>
        </w:tc>
      </w:tr>
      <w:tr w:rsidR="00851C66" w:rsidRPr="00DA48D5" w:rsidTr="00851C66">
        <w:trPr>
          <w:trHeight w:val="1179"/>
        </w:trPr>
        <w:tc>
          <w:tcPr>
            <w:tcW w:w="7218" w:type="dxa"/>
          </w:tcPr>
          <w:p w:rsidR="00944EC8" w:rsidRDefault="00DC1377" w:rsidP="00AE3F17">
            <w:pPr>
              <w:rPr>
                <w:rFonts w:ascii="Arial" w:hAnsi="Arial" w:cs="Arial"/>
                <w:sz w:val="24"/>
                <w:szCs w:val="24"/>
              </w:rPr>
            </w:pPr>
            <w:r>
              <w:rPr>
                <w:rFonts w:ascii="Arial" w:hAnsi="Arial" w:cs="Arial"/>
                <w:sz w:val="24"/>
                <w:szCs w:val="24"/>
              </w:rPr>
              <w:t xml:space="preserve">Effluent quality monitoring for </w:t>
            </w:r>
            <w:proofErr w:type="spellStart"/>
            <w:r>
              <w:rPr>
                <w:rFonts w:ascii="Arial" w:hAnsi="Arial" w:cs="Arial"/>
                <w:sz w:val="24"/>
                <w:szCs w:val="24"/>
              </w:rPr>
              <w:t>Emalahleni</w:t>
            </w:r>
            <w:proofErr w:type="spellEnd"/>
            <w:r>
              <w:rPr>
                <w:rFonts w:ascii="Arial" w:hAnsi="Arial" w:cs="Arial"/>
                <w:sz w:val="24"/>
                <w:szCs w:val="24"/>
              </w:rPr>
              <w:t xml:space="preserve"> Local Municipality</w:t>
            </w:r>
          </w:p>
          <w:p w:rsidR="00DC1377" w:rsidRPr="00AE3F17" w:rsidRDefault="00DC1377" w:rsidP="00AE3F17">
            <w:pPr>
              <w:rPr>
                <w:rFonts w:ascii="Arial" w:hAnsi="Arial" w:cs="Arial"/>
                <w:sz w:val="24"/>
                <w:szCs w:val="24"/>
              </w:rPr>
            </w:pPr>
            <w:r>
              <w:rPr>
                <w:rFonts w:ascii="Arial" w:hAnsi="Arial" w:cs="Arial"/>
                <w:sz w:val="24"/>
                <w:szCs w:val="24"/>
              </w:rPr>
              <w:t>See attached scope of work</w:t>
            </w:r>
          </w:p>
        </w:tc>
        <w:tc>
          <w:tcPr>
            <w:tcW w:w="2027" w:type="dxa"/>
          </w:tcPr>
          <w:p w:rsidR="00944EC8" w:rsidRPr="00E8629C" w:rsidRDefault="00944EC8" w:rsidP="00851C66">
            <w:pPr>
              <w:tabs>
                <w:tab w:val="center" w:pos="905"/>
              </w:tabs>
              <w:jc w:val="both"/>
              <w:rPr>
                <w:rFonts w:ascii="Arial" w:hAnsi="Arial" w:cs="Arial"/>
              </w:rPr>
            </w:pPr>
            <w:bookmarkStart w:id="2" w:name="_GoBack"/>
            <w:bookmarkEnd w:id="2"/>
          </w:p>
        </w:tc>
      </w:tr>
    </w:tbl>
    <w:p w:rsidR="00851C66" w:rsidRDefault="00851C66" w:rsidP="00851C66">
      <w:pPr>
        <w:spacing w:line="290" w:lineRule="exact"/>
        <w:rPr>
          <w:sz w:val="24"/>
          <w:szCs w:val="24"/>
        </w:rPr>
      </w:pPr>
    </w:p>
    <w:p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AC287E">
        <w:rPr>
          <w:rFonts w:ascii="Arial" w:eastAsia="Arial" w:hAnsi="Arial" w:cs="Arial"/>
          <w:b/>
          <w:sz w:val="24"/>
          <w:szCs w:val="24"/>
        </w:rPr>
        <w:t>28</w:t>
      </w:r>
      <w:r w:rsidR="00500DF5">
        <w:rPr>
          <w:rFonts w:ascii="Arial" w:eastAsia="Arial" w:hAnsi="Arial" w:cs="Arial"/>
          <w:b/>
          <w:sz w:val="24"/>
          <w:szCs w:val="24"/>
        </w:rPr>
        <w:t xml:space="preserve"> </w:t>
      </w:r>
      <w:r w:rsidR="00AC287E">
        <w:rPr>
          <w:rFonts w:ascii="Arial" w:eastAsia="Arial" w:hAnsi="Arial" w:cs="Arial"/>
          <w:b/>
          <w:sz w:val="24"/>
          <w:szCs w:val="24"/>
        </w:rPr>
        <w:t>October</w:t>
      </w:r>
      <w:r w:rsidRPr="003104FD">
        <w:rPr>
          <w:rFonts w:ascii="Arial" w:eastAsia="Arial" w:hAnsi="Arial" w:cs="Arial"/>
          <w:b/>
          <w:sz w:val="24"/>
          <w:szCs w:val="24"/>
        </w:rPr>
        <w:t xml:space="preserve"> 2022</w:t>
      </w:r>
    </w:p>
    <w:p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0BD30A42" wp14:editId="3A3D315C">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A75B6C" w:rsidRDefault="00A75B6C" w:rsidP="00036004">
      <w:pPr>
        <w:spacing w:line="362" w:lineRule="exact"/>
        <w:rPr>
          <w:sz w:val="24"/>
          <w:szCs w:val="24"/>
        </w:rPr>
      </w:pPr>
    </w:p>
    <w:p w:rsidR="00036004" w:rsidRDefault="00036004" w:rsidP="00036004">
      <w:pPr>
        <w:ind w:left="120"/>
        <w:rPr>
          <w:sz w:val="20"/>
          <w:szCs w:val="20"/>
        </w:rPr>
      </w:pPr>
      <w:r>
        <w:rPr>
          <w:rFonts w:ascii="Arial" w:eastAsia="Arial" w:hAnsi="Arial" w:cs="Arial"/>
          <w:sz w:val="24"/>
          <w:szCs w:val="24"/>
        </w:rPr>
        <w:t>The following conditions will apply:</w:t>
      </w:r>
    </w:p>
    <w:p w:rsidR="00036004" w:rsidRDefault="00036004" w:rsidP="00036004">
      <w:pPr>
        <w:spacing w:line="275" w:lineRule="exact"/>
        <w:rPr>
          <w:sz w:val="24"/>
          <w:szCs w:val="24"/>
        </w:rPr>
      </w:pP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lastRenderedPageBreak/>
        <w:t>Company must be registered on the Central Supplier Database (CSD) of the National Treasury.</w:t>
      </w:r>
    </w:p>
    <w:p w:rsidR="00FD546C" w:rsidRDefault="00FD546C" w:rsidP="00FD546C">
      <w:pPr>
        <w:pStyle w:val="ListParagraph"/>
        <w:rPr>
          <w:rFonts w:ascii="Symbol" w:eastAsia="Symbol" w:hAnsi="Symbol" w:cs="Symbol"/>
          <w:sz w:val="24"/>
          <w:szCs w:val="24"/>
        </w:rPr>
      </w:pPr>
    </w:p>
    <w:p w:rsidR="00FD546C" w:rsidRDefault="00FD546C" w:rsidP="00FD546C">
      <w:pPr>
        <w:jc w:val="both"/>
        <w:rPr>
          <w:rFonts w:ascii="Arial" w:hAnsi="Arial" w:cs="Arial"/>
          <w:b/>
        </w:rPr>
      </w:pPr>
    </w:p>
    <w:p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rsidR="00FD546C" w:rsidRDefault="00FD546C" w:rsidP="00FD546C">
      <w:pPr>
        <w:jc w:val="both"/>
        <w:outlineLvl w:val="0"/>
        <w:rPr>
          <w:rFonts w:ascii="Arial" w:hAnsi="Arial" w:cs="Arial"/>
        </w:rPr>
      </w:pPr>
    </w:p>
    <w:p w:rsidR="00FD546C" w:rsidRDefault="00FD546C" w:rsidP="00FD546C">
      <w:pPr>
        <w:jc w:val="both"/>
        <w:outlineLvl w:val="0"/>
        <w:rPr>
          <w:rFonts w:ascii="Arial" w:hAnsi="Arial" w:cs="Arial"/>
        </w:rPr>
      </w:pPr>
    </w:p>
    <w:p w:rsidR="00FD546C" w:rsidRPr="00CF1ECE" w:rsidRDefault="00FD546C" w:rsidP="00FD546C">
      <w:pPr>
        <w:jc w:val="both"/>
        <w:outlineLvl w:val="0"/>
        <w:rPr>
          <w:rFonts w:ascii="Arial" w:hAnsi="Arial" w:cs="Arial"/>
        </w:rPr>
      </w:pPr>
    </w:p>
    <w:p w:rsidR="00FD546C" w:rsidRPr="00CF1ECE" w:rsidRDefault="00FD546C" w:rsidP="00FD546C">
      <w:pPr>
        <w:jc w:val="both"/>
        <w:rPr>
          <w:rFonts w:ascii="Arial" w:hAnsi="Arial" w:cs="Arial"/>
          <w:b/>
          <w:bCs/>
        </w:rPr>
      </w:pPr>
      <w:r w:rsidRPr="00CF1ECE">
        <w:rPr>
          <w:rFonts w:ascii="Arial" w:hAnsi="Arial" w:cs="Arial"/>
          <w:b/>
          <w:bCs/>
        </w:rPr>
        <w:t>H.S MAYISELA</w:t>
      </w:r>
    </w:p>
    <w:p w:rsidR="00FD546C" w:rsidRPr="00CF1ECE" w:rsidRDefault="00FD546C" w:rsidP="00FD546C">
      <w:pPr>
        <w:rPr>
          <w:rFonts w:ascii="Arial" w:hAnsi="Arial" w:cs="Arial"/>
          <w:b/>
        </w:rPr>
      </w:pPr>
      <w:r w:rsidRPr="00CF1ECE">
        <w:rPr>
          <w:rFonts w:ascii="Arial" w:hAnsi="Arial" w:cs="Arial"/>
          <w:b/>
        </w:rPr>
        <w:t>MUNICIPAL MANAGER</w:t>
      </w:r>
    </w:p>
    <w:p w:rsidR="00FD546C" w:rsidRPr="00CF1ECE" w:rsidRDefault="00FD546C" w:rsidP="00FD546C">
      <w:pPr>
        <w:rPr>
          <w:rFonts w:ascii="Arial" w:hAnsi="Arial" w:cs="Arial"/>
        </w:rPr>
      </w:pPr>
    </w:p>
    <w:p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proofErr w:type="spellStart"/>
      <w:r w:rsidRPr="00CF1ECE">
        <w:rPr>
          <w:rFonts w:ascii="Arial" w:hAnsi="Arial" w:cs="Arial"/>
          <w:b/>
        </w:rPr>
        <w:t>eMalahleni</w:t>
      </w:r>
      <w:proofErr w:type="spellEnd"/>
    </w:p>
    <w:p w:rsidR="00FD546C" w:rsidRPr="00CF1ECE" w:rsidRDefault="00FD546C" w:rsidP="00FD546C">
      <w:pPr>
        <w:rPr>
          <w:rFonts w:ascii="Arial" w:hAnsi="Arial" w:cs="Arial"/>
          <w:b/>
        </w:rPr>
      </w:pPr>
      <w:proofErr w:type="spellStart"/>
      <w:r w:rsidRPr="00CF1ECE">
        <w:rPr>
          <w:rFonts w:ascii="Arial" w:hAnsi="Arial" w:cs="Arial"/>
          <w:b/>
        </w:rPr>
        <w:t>eMalahleni</w:t>
      </w:r>
      <w:proofErr w:type="spellEnd"/>
    </w:p>
    <w:p w:rsidR="00FD546C" w:rsidRPr="00FD546C" w:rsidRDefault="00FD546C" w:rsidP="00FD546C">
      <w:pPr>
        <w:jc w:val="both"/>
        <w:rPr>
          <w:rFonts w:ascii="Arial" w:hAnsi="Arial" w:cs="Arial"/>
          <w:b/>
        </w:rPr>
      </w:pPr>
    </w:p>
    <w:p w:rsidR="00FD546C" w:rsidRDefault="00FD546C" w:rsidP="00FD546C">
      <w:pPr>
        <w:tabs>
          <w:tab w:val="left" w:pos="840"/>
        </w:tabs>
        <w:spacing w:line="227" w:lineRule="auto"/>
        <w:ind w:left="840" w:right="180"/>
        <w:rPr>
          <w:rFonts w:ascii="Symbol" w:eastAsia="Symbol" w:hAnsi="Symbol" w:cs="Symbol"/>
          <w:sz w:val="24"/>
          <w:szCs w:val="24"/>
        </w:rPr>
      </w:pP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036004" w:rsidRDefault="00036004" w:rsidP="00036004">
      <w:pPr>
        <w:sectPr w:rsidR="00036004">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 xml:space="preserve">Company Registration </w:t>
      </w:r>
      <w:proofErr w:type="gramStart"/>
      <w:r w:rsidRPr="00036004">
        <w:rPr>
          <w:rFonts w:ascii="Arial" w:eastAsia="Arial" w:hAnsi="Arial" w:cs="Arial"/>
          <w:sz w:val="24"/>
          <w:szCs w:val="24"/>
        </w:rPr>
        <w:t>Number</w:t>
      </w:r>
      <w:r w:rsidR="005A6A3D">
        <w:rPr>
          <w:rFonts w:ascii="Arial" w:eastAsia="Arial" w:hAnsi="Arial" w:cs="Arial"/>
          <w:sz w:val="24"/>
          <w:szCs w:val="24"/>
        </w:rPr>
        <w:t xml:space="preserve"> </w:t>
      </w:r>
      <w:r w:rsidRPr="00036004">
        <w:rPr>
          <w:rFonts w:ascii="Arial" w:eastAsia="Arial" w:hAnsi="Arial" w:cs="Arial"/>
          <w:sz w:val="24"/>
          <w:szCs w:val="24"/>
        </w:rPr>
        <w:t>:</w:t>
      </w:r>
      <w:proofErr w:type="gramEnd"/>
      <w:r w:rsidRPr="00036004">
        <w:rPr>
          <w:rFonts w:ascii="Arial" w:eastAsia="Arial" w:hAnsi="Arial" w:cs="Arial"/>
          <w:sz w:val="24"/>
          <w:szCs w:val="24"/>
        </w:rPr>
        <w:t xml:space="preserve">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 xml:space="preserve">Tax Reference </w:t>
      </w:r>
      <w:proofErr w:type="gramStart"/>
      <w:r w:rsidRPr="00036004">
        <w:rPr>
          <w:rFonts w:ascii="Arial" w:eastAsia="Arial" w:hAnsi="Arial" w:cs="Arial"/>
          <w:sz w:val="23"/>
          <w:szCs w:val="23"/>
        </w:rPr>
        <w:t>Number</w:t>
      </w:r>
      <w:r w:rsidR="005A6A3D">
        <w:rPr>
          <w:rFonts w:ascii="Arial" w:eastAsia="Arial" w:hAnsi="Arial" w:cs="Arial"/>
          <w:sz w:val="23"/>
          <w:szCs w:val="23"/>
        </w:rPr>
        <w:t xml:space="preserve"> </w:t>
      </w:r>
      <w:r w:rsidRPr="00036004">
        <w:rPr>
          <w:rFonts w:ascii="Arial" w:eastAsia="Arial" w:hAnsi="Arial" w:cs="Arial"/>
          <w:sz w:val="23"/>
          <w:szCs w:val="23"/>
        </w:rPr>
        <w:t>:</w:t>
      </w:r>
      <w:proofErr w:type="gramEnd"/>
      <w:r w:rsidRPr="00036004">
        <w:rPr>
          <w:rFonts w:ascii="Arial" w:eastAsia="Arial" w:hAnsi="Arial" w:cs="Arial"/>
          <w:sz w:val="23"/>
          <w:szCs w:val="23"/>
        </w:rPr>
        <w:t xml:space="preserve">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proofErr w:type="gramStart"/>
            <w:r w:rsidRPr="00036004">
              <w:rPr>
                <w:rFonts w:ascii="Arial" w:eastAsia="Arial" w:hAnsi="Arial" w:cs="Arial"/>
                <w:sz w:val="24"/>
                <w:szCs w:val="24"/>
              </w:rPr>
              <w:t>2.10.1  If</w:t>
            </w:r>
            <w:proofErr w:type="gramEnd"/>
            <w:r w:rsidRPr="00036004">
              <w:rPr>
                <w:rFonts w:ascii="Arial" w:eastAsia="Arial" w:hAnsi="Arial" w:cs="Arial"/>
                <w:sz w:val="24"/>
                <w:szCs w:val="24"/>
              </w:rPr>
              <w:t xml:space="preserve">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851C66">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851C66">
            <w:pPr>
              <w:tabs>
                <w:tab w:val="left" w:pos="425"/>
              </w:tabs>
              <w:spacing w:line="237" w:lineRule="auto"/>
              <w:jc w:val="both"/>
              <w:rPr>
                <w:rFonts w:ascii="Arial" w:hAnsi="Arial" w:cs="Arial"/>
              </w:rPr>
            </w:pPr>
          </w:p>
          <w:p w:rsidR="005E3FD2" w:rsidRPr="00B105A7"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313724"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724" w:rsidRDefault="00313724" w:rsidP="00036004">
      <w:r>
        <w:separator/>
      </w:r>
    </w:p>
  </w:endnote>
  <w:endnote w:type="continuationSeparator" w:id="0">
    <w:p w:rsidR="00313724" w:rsidRDefault="00313724"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00" w:rsidRDefault="00164F00">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724" w:rsidRDefault="00313724" w:rsidP="00036004">
      <w:r>
        <w:separator/>
      </w:r>
    </w:p>
  </w:footnote>
  <w:footnote w:type="continuationSeparator" w:id="0">
    <w:p w:rsidR="00313724" w:rsidRDefault="00313724"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00" w:rsidRDefault="00164F00">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00" w:rsidRDefault="00164F00">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164F00" w:rsidRDefault="00164F00">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00" w:rsidRDefault="00164F00">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00" w:rsidRDefault="00164F00">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164F00" w:rsidRDefault="00164F00">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00" w:rsidRDefault="00164F00">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164F00" w:rsidRDefault="00164F00">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69135A2"/>
    <w:multiLevelType w:val="hybridMultilevel"/>
    <w:tmpl w:val="36FCC596"/>
    <w:lvl w:ilvl="0" w:tplc="A37682E0">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8"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9"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0"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9"/>
  </w:num>
  <w:num w:numId="3">
    <w:abstractNumId w:val="26"/>
  </w:num>
  <w:num w:numId="4">
    <w:abstractNumId w:val="31"/>
  </w:num>
  <w:num w:numId="5">
    <w:abstractNumId w:val="22"/>
  </w:num>
  <w:num w:numId="6">
    <w:abstractNumId w:val="12"/>
  </w:num>
  <w:num w:numId="7">
    <w:abstractNumId w:val="23"/>
  </w:num>
  <w:num w:numId="8">
    <w:abstractNumId w:val="19"/>
  </w:num>
  <w:num w:numId="9">
    <w:abstractNumId w:val="18"/>
  </w:num>
  <w:num w:numId="10">
    <w:abstractNumId w:val="40"/>
  </w:num>
  <w:num w:numId="11">
    <w:abstractNumId w:val="11"/>
  </w:num>
  <w:num w:numId="12">
    <w:abstractNumId w:val="28"/>
  </w:num>
  <w:num w:numId="13">
    <w:abstractNumId w:val="21"/>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7"/>
  </w:num>
  <w:num w:numId="23">
    <w:abstractNumId w:val="20"/>
  </w:num>
  <w:num w:numId="24">
    <w:abstractNumId w:val="4"/>
  </w:num>
  <w:num w:numId="25">
    <w:abstractNumId w:val="7"/>
  </w:num>
  <w:num w:numId="26">
    <w:abstractNumId w:val="24"/>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13"/>
  </w:num>
  <w:num w:numId="39">
    <w:abstractNumId w:val="36"/>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101EAB"/>
    <w:rsid w:val="00164F00"/>
    <w:rsid w:val="001A0E02"/>
    <w:rsid w:val="002A10E4"/>
    <w:rsid w:val="00310536"/>
    <w:rsid w:val="00313724"/>
    <w:rsid w:val="0041153F"/>
    <w:rsid w:val="004911E3"/>
    <w:rsid w:val="00500DF5"/>
    <w:rsid w:val="00513BE8"/>
    <w:rsid w:val="00575803"/>
    <w:rsid w:val="005A6A3D"/>
    <w:rsid w:val="005E3FD2"/>
    <w:rsid w:val="0064029F"/>
    <w:rsid w:val="00645E08"/>
    <w:rsid w:val="00672D10"/>
    <w:rsid w:val="0073611D"/>
    <w:rsid w:val="007D60C8"/>
    <w:rsid w:val="007E0E73"/>
    <w:rsid w:val="007F2AB7"/>
    <w:rsid w:val="00836AF1"/>
    <w:rsid w:val="00851C66"/>
    <w:rsid w:val="00944EC8"/>
    <w:rsid w:val="009A6A5E"/>
    <w:rsid w:val="009D52F7"/>
    <w:rsid w:val="00A4108F"/>
    <w:rsid w:val="00A75B6C"/>
    <w:rsid w:val="00AA1270"/>
    <w:rsid w:val="00AC287E"/>
    <w:rsid w:val="00AE3F17"/>
    <w:rsid w:val="00B6663F"/>
    <w:rsid w:val="00B8245A"/>
    <w:rsid w:val="00BD1D46"/>
    <w:rsid w:val="00C23424"/>
    <w:rsid w:val="00C40E25"/>
    <w:rsid w:val="00C50C36"/>
    <w:rsid w:val="00C863B2"/>
    <w:rsid w:val="00CB425E"/>
    <w:rsid w:val="00D409D1"/>
    <w:rsid w:val="00DC1377"/>
    <w:rsid w:val="00DE6274"/>
    <w:rsid w:val="00E71E44"/>
    <w:rsid w:val="00E73040"/>
    <w:rsid w:val="00E8629C"/>
    <w:rsid w:val="00EE41CF"/>
    <w:rsid w:val="00EE76FD"/>
    <w:rsid w:val="00FC1152"/>
    <w:rsid w:val="00FD546C"/>
    <w:rsid w:val="00FF1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3704C74"/>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Dhladhla, Princess P</dc:creator>
  <cp:keywords/>
  <dc:description/>
  <cp:lastModifiedBy>Dhladhla, Princess P</cp:lastModifiedBy>
  <cp:revision>2</cp:revision>
  <cp:lastPrinted>2022-08-05T09:53:00Z</cp:lastPrinted>
  <dcterms:created xsi:type="dcterms:W3CDTF">2022-10-21T11:35:00Z</dcterms:created>
  <dcterms:modified xsi:type="dcterms:W3CDTF">2022-10-21T11:35:00Z</dcterms:modified>
</cp:coreProperties>
</file>